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部门年度创新与突破工作自评表</w:t>
      </w: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部门：冶金工程系</w:t>
      </w:r>
    </w:p>
    <w:tbl>
      <w:tblPr>
        <w:tblStyle w:val="6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4056"/>
        <w:gridCol w:w="4395"/>
        <w:gridCol w:w="834"/>
        <w:gridCol w:w="162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8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30"/>
                <w:szCs w:val="30"/>
              </w:rPr>
              <w:t>创新现代学徒制的人才培养模式，形成</w:t>
            </w:r>
            <w:r>
              <w:rPr>
                <w:bCs/>
                <w:sz w:val="30"/>
                <w:szCs w:val="30"/>
              </w:rPr>
              <w:t>冶金</w:t>
            </w:r>
            <w:r>
              <w:rPr>
                <w:rFonts w:hint="eastAsia"/>
                <w:bCs/>
                <w:sz w:val="30"/>
                <w:szCs w:val="30"/>
              </w:rPr>
              <w:t>技术</w:t>
            </w:r>
            <w:r>
              <w:rPr>
                <w:bCs/>
                <w:sz w:val="30"/>
                <w:szCs w:val="30"/>
              </w:rPr>
              <w:t>专业现代学徒制实践教学体系</w:t>
            </w:r>
            <w:r>
              <w:rPr>
                <w:rFonts w:hint="eastAsia"/>
                <w:bCs/>
                <w:sz w:val="30"/>
                <w:szCs w:val="30"/>
              </w:rPr>
              <w:t>典型案例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完成，获</w:t>
            </w:r>
            <w:r>
              <w:rPr>
                <w:rFonts w:hint="eastAsia"/>
                <w:bCs/>
                <w:sz w:val="30"/>
                <w:szCs w:val="30"/>
              </w:rPr>
              <w:t>获山西省教学成果特等奖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完成“黑色冶金技术专业实训基地建设项目”的验收工作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师资队伍建设创新突破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教师赛项获奖多项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30"/>
                <w:szCs w:val="30"/>
              </w:rPr>
              <w:t>申报完成“资源综合利用与管理”“工业节能”2个与市场紧密结合的新专业，规划教材1部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30"/>
                <w:szCs w:val="30"/>
              </w:rPr>
              <w:t>制定了2个国家教学标准，完成</w:t>
            </w:r>
            <w:r>
              <w:rPr>
                <w:rFonts w:hint="eastAsia"/>
                <w:bCs/>
                <w:sz w:val="28"/>
                <w:szCs w:val="28"/>
              </w:rPr>
              <w:t>教育部行业指导职业院校专业改革与实践项目结题1项，</w:t>
            </w:r>
            <w:r>
              <w:rPr>
                <w:rFonts w:hint="eastAsia"/>
                <w:sz w:val="30"/>
                <w:szCs w:val="30"/>
              </w:rPr>
              <w:t>获批2项山西省教育科学十三五规划课题。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学生技能培养创新与突破工作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30"/>
                <w:szCs w:val="30"/>
              </w:rPr>
              <w:t>国家级技能竞赛获团体三等奖，省部级技能大赛获学生一等奖4项，二等奖3项，3等奖4项。</w:t>
            </w:r>
            <w:r>
              <w:rPr>
                <w:rFonts w:hint="eastAsia"/>
                <w:sz w:val="30"/>
                <w:szCs w:val="30"/>
              </w:rPr>
              <w:t>承办6项院级技能大赛。获山西工程职业技术学院大学生创新创业大赛一等奖1项；获第三届中国大学生创新创业大赛（山西赛区）优秀奖1项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校企协作创新与突破工作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与山西省食品工业研究所合作开发了“食品营养与检测”专业人才培养方案；与太钢合作开发了“工业技能”、“ 资源综合利用与管理技术”专业人才培养方案。与山西建邦集团、中铝新材料有限公司合作完成现代学徒制班级学生跟岗实习任务；与太钢、京唐钢铁集团、众智科技有限公司、河北鑫达集团合作、日照钢铁集团等企业合作安排学生进行顶岗实习，实现顶岗实习岗位数全满足。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4056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现代学徒制、在线开放课程、教学资源库等方面的创新突破工作</w:t>
            </w:r>
          </w:p>
        </w:tc>
        <w:tc>
          <w:tcPr>
            <w:tcW w:w="439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根据学院统一部署同步推进。</w:t>
            </w:r>
          </w:p>
        </w:tc>
        <w:tc>
          <w:tcPr>
            <w:tcW w:w="834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>
      <w:pPr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部门负责人签字：                                    部门盖章：</w:t>
      </w: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3C14"/>
    <w:rsid w:val="001544A8"/>
    <w:rsid w:val="002E6BB0"/>
    <w:rsid w:val="00303F6F"/>
    <w:rsid w:val="00431AB2"/>
    <w:rsid w:val="004C7490"/>
    <w:rsid w:val="00713C14"/>
    <w:rsid w:val="008E7AA5"/>
    <w:rsid w:val="00A821E7"/>
    <w:rsid w:val="0E3661DA"/>
    <w:rsid w:val="3C5642DF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108</Words>
  <Characters>621</Characters>
  <Lines>5</Lines>
  <Paragraphs>1</Paragraphs>
  <TotalTime>0</TotalTime>
  <ScaleCrop>false</ScaleCrop>
  <LinksUpToDate>false</LinksUpToDate>
  <CharactersWithSpaces>728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2018-04-12T09:31:33Z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