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28"/>
          <w:szCs w:val="28"/>
        </w:rPr>
      </w:pPr>
      <w:r>
        <w:rPr>
          <w:rFonts w:hint="eastAsia" w:asciiTheme="majorEastAsia" w:hAnsiTheme="majorEastAsia" w:eastAsiaTheme="majorEastAsia" w:cstheme="majorEastAsia"/>
          <w:b/>
          <w:bCs/>
          <w:sz w:val="36"/>
          <w:szCs w:val="36"/>
        </w:rPr>
        <w:t>部门年度创新与突破工作自评表</w:t>
      </w:r>
    </w:p>
    <w:p>
      <w:pPr>
        <w:rPr>
          <w:rFonts w:asciiTheme="minorEastAsia" w:hAnsiTheme="minorEastAsia" w:cstheme="minorEastAsia"/>
          <w:sz w:val="28"/>
          <w:szCs w:val="28"/>
        </w:rPr>
      </w:pPr>
      <w:r>
        <w:rPr>
          <w:rFonts w:hint="eastAsia" w:asciiTheme="minorEastAsia" w:hAnsiTheme="minorEastAsia" w:cstheme="minorEastAsia"/>
          <w:sz w:val="28"/>
          <w:szCs w:val="28"/>
        </w:rPr>
        <w:t>部门：督导部</w:t>
      </w:r>
    </w:p>
    <w:tbl>
      <w:tblPr>
        <w:tblStyle w:val="6"/>
        <w:tblW w:w="13157" w:type="dxa"/>
        <w:jc w:val="center"/>
        <w:tblInd w:w="-15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845"/>
        <w:gridCol w:w="1425"/>
        <w:gridCol w:w="1635"/>
        <w:gridCol w:w="1410"/>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jc w:val="center"/>
              <w:rPr>
                <w:rFonts w:asciiTheme="minorEastAsia" w:hAnsiTheme="minorEastAsia" w:cstheme="minorEastAsia"/>
                <w:b/>
                <w:bCs/>
                <w:sz w:val="28"/>
                <w:szCs w:val="28"/>
              </w:rPr>
            </w:pPr>
          </w:p>
        </w:tc>
        <w:tc>
          <w:tcPr>
            <w:tcW w:w="6845" w:type="dxa"/>
            <w:vAlign w:val="center"/>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年度创新与突破工作</w:t>
            </w:r>
          </w:p>
        </w:tc>
        <w:tc>
          <w:tcPr>
            <w:tcW w:w="1425" w:type="dxa"/>
            <w:vAlign w:val="center"/>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完成程度</w:t>
            </w:r>
          </w:p>
        </w:tc>
        <w:tc>
          <w:tcPr>
            <w:tcW w:w="1635" w:type="dxa"/>
            <w:vAlign w:val="center"/>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工作评分</w:t>
            </w:r>
          </w:p>
        </w:tc>
        <w:tc>
          <w:tcPr>
            <w:tcW w:w="1410" w:type="dxa"/>
            <w:vAlign w:val="center"/>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成绩</w:t>
            </w:r>
          </w:p>
        </w:tc>
        <w:tc>
          <w:tcPr>
            <w:tcW w:w="1195" w:type="dxa"/>
            <w:vAlign w:val="center"/>
          </w:tcPr>
          <w:p>
            <w:pPr>
              <w:jc w:val="center"/>
              <w:rPr>
                <w:rFonts w:asciiTheme="minorEastAsia" w:hAnsiTheme="minorEastAsia" w:cstheme="minorEastAsia"/>
                <w:b/>
                <w:bCs/>
                <w:sz w:val="28"/>
                <w:szCs w:val="28"/>
              </w:rPr>
            </w:pPr>
            <w:r>
              <w:rPr>
                <w:rFonts w:hint="eastAsia" w:asciiTheme="minorEastAsia" w:hAnsiTheme="minorEastAsia" w:cstheme="minor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1</w:t>
            </w:r>
          </w:p>
        </w:tc>
        <w:tc>
          <w:tcPr>
            <w:tcW w:w="6845" w:type="dxa"/>
          </w:tcPr>
          <w:p>
            <w:pPr>
              <w:spacing w:line="360" w:lineRule="auto"/>
              <w:rPr>
                <w:rFonts w:asciiTheme="minorEastAsia" w:hAnsiTheme="minorEastAsia" w:cstheme="minorEastAsia"/>
                <w:bCs/>
                <w:sz w:val="24"/>
                <w:szCs w:val="24"/>
              </w:rPr>
            </w:pPr>
            <w:r>
              <w:rPr>
                <w:rFonts w:hint="eastAsia" w:asciiTheme="minorEastAsia" w:hAnsiTheme="minorEastAsia" w:cstheme="minorEastAsia"/>
                <w:bCs/>
                <w:sz w:val="24"/>
                <w:szCs w:val="24"/>
              </w:rPr>
              <w:t>为贯彻落实习近平总书记在高校思想政治工作会议上把思想政治工作贯穿教育教学全过程，开创我国高等教育事业发展新局面的讲话精神，以青年教师双纲教学为重点，先后组织了3次系列公开教学活动。（1）5月17日上午思政部王琪主任为全院年轻教师做了题为“学系列讲话精神  话双纲备课意义”主题讲座； （2）5月31日上午，基础部杨阳老师在行政楼2层进行了“双纲教学”公开课交流；（3） 6月21日下午在行政楼902室举行了“双纲备课”教案展。</w:t>
            </w:r>
          </w:p>
        </w:tc>
        <w:tc>
          <w:tcPr>
            <w:tcW w:w="1425" w:type="dxa"/>
          </w:tcPr>
          <w:p>
            <w:pPr>
              <w:rPr>
                <w:rFonts w:hint="eastAsia" w:asciiTheme="minorEastAsia" w:hAnsiTheme="minorEastAsia" w:eastAsiaTheme="minorEastAsia" w:cstheme="minorEastAsia"/>
                <w:b/>
                <w:bCs/>
                <w:sz w:val="28"/>
                <w:szCs w:val="28"/>
                <w:lang w:val="en-US" w:eastAsia="zh-CN"/>
              </w:rPr>
            </w:pPr>
            <w:r>
              <w:rPr>
                <w:rFonts w:hint="default" w:ascii="Times New Roman" w:hAnsi="Times New Roman" w:cs="Times New Roman"/>
                <w:b w:val="0"/>
                <w:bCs w:val="0"/>
                <w:sz w:val="28"/>
                <w:szCs w:val="28"/>
                <w:lang w:val="en-US" w:eastAsia="zh-CN"/>
              </w:rPr>
              <w:t>100%</w:t>
            </w:r>
          </w:p>
        </w:tc>
        <w:tc>
          <w:tcPr>
            <w:tcW w:w="1635" w:type="dxa"/>
          </w:tcPr>
          <w:p>
            <w:pP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A</w:t>
            </w:r>
          </w:p>
        </w:tc>
        <w:tc>
          <w:tcPr>
            <w:tcW w:w="1410" w:type="dxa"/>
            <w:vMerge w:val="restart"/>
          </w:tcPr>
          <w:p>
            <w:pP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95</w:t>
            </w:r>
          </w:p>
        </w:tc>
        <w:tc>
          <w:tcPr>
            <w:tcW w:w="1195" w:type="dxa"/>
          </w:tcPr>
          <w:p>
            <w:pPr>
              <w:rPr>
                <w:rFonts w:asciiTheme="minorEastAsia" w:hAnsiTheme="minorEastAsia" w:cstheme="minorEastAsia"/>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2</w:t>
            </w:r>
          </w:p>
        </w:tc>
        <w:tc>
          <w:tcPr>
            <w:tcW w:w="6845" w:type="dxa"/>
          </w:tcPr>
          <w:p>
            <w:pPr>
              <w:spacing w:line="360" w:lineRule="auto"/>
              <w:rPr>
                <w:rFonts w:asciiTheme="minorEastAsia" w:hAnsiTheme="minorEastAsia" w:cstheme="minorEastAsia"/>
                <w:bCs/>
                <w:sz w:val="24"/>
                <w:szCs w:val="24"/>
              </w:rPr>
            </w:pPr>
            <w:r>
              <w:rPr>
                <w:rFonts w:hint="eastAsia" w:asciiTheme="minorEastAsia" w:hAnsiTheme="minorEastAsia" w:cstheme="minorEastAsia"/>
                <w:bCs/>
                <w:sz w:val="24"/>
                <w:szCs w:val="24"/>
              </w:rPr>
              <w:t>在诊改工作中采用了自顶向下层层细化的方法将学院的十三五总目标分解成各部门每个年度的工作目标，形成了伞状目标链</w:t>
            </w:r>
            <w:r>
              <w:rPr>
                <w:rFonts w:hint="eastAsia" w:asciiTheme="minorEastAsia" w:hAnsiTheme="minorEastAsia" w:cstheme="minorEastAsia"/>
                <w:bCs/>
                <w:sz w:val="24"/>
                <w:szCs w:val="24"/>
                <w:lang w:eastAsia="zh-CN"/>
              </w:rPr>
              <w:t>。</w:t>
            </w:r>
          </w:p>
        </w:tc>
        <w:tc>
          <w:tcPr>
            <w:tcW w:w="1425" w:type="dxa"/>
          </w:tcPr>
          <w:p>
            <w:pPr>
              <w:rPr>
                <w:rFonts w:hint="eastAsia" w:asciiTheme="minorEastAsia" w:hAnsiTheme="minorEastAsia" w:eastAsiaTheme="minorEastAsia" w:cstheme="minorEastAsia"/>
                <w:b/>
                <w:bCs/>
                <w:sz w:val="28"/>
                <w:szCs w:val="28"/>
                <w:lang w:val="en-US" w:eastAsia="zh-CN"/>
              </w:rPr>
            </w:pPr>
            <w:r>
              <w:rPr>
                <w:rFonts w:hint="default" w:ascii="Times New Roman" w:hAnsi="Times New Roman" w:cs="Times New Roman"/>
                <w:b w:val="0"/>
                <w:bCs w:val="0"/>
                <w:sz w:val="28"/>
                <w:szCs w:val="28"/>
                <w:lang w:val="en-US" w:eastAsia="zh-CN"/>
              </w:rPr>
              <w:t>100%</w:t>
            </w:r>
          </w:p>
        </w:tc>
        <w:tc>
          <w:tcPr>
            <w:tcW w:w="1635" w:type="dxa"/>
          </w:tcPr>
          <w:p>
            <w:pP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A</w:t>
            </w:r>
          </w:p>
        </w:tc>
        <w:tc>
          <w:tcPr>
            <w:tcW w:w="1410" w:type="dxa"/>
            <w:vMerge w:val="continue"/>
          </w:tcPr>
          <w:p>
            <w:pPr>
              <w:rPr>
                <w:rFonts w:asciiTheme="minorEastAsia" w:hAnsiTheme="minorEastAsia" w:cstheme="minorEastAsia"/>
                <w:b/>
                <w:bCs/>
                <w:sz w:val="28"/>
                <w:szCs w:val="28"/>
              </w:rPr>
            </w:pPr>
          </w:p>
        </w:tc>
        <w:tc>
          <w:tcPr>
            <w:tcW w:w="1195" w:type="dxa"/>
          </w:tcPr>
          <w:p>
            <w:pPr>
              <w:rPr>
                <w:rFonts w:asciiTheme="minorEastAsia" w:hAnsiTheme="minorEastAsia" w:cstheme="minorEastAsia"/>
                <w:b/>
                <w:bCs/>
                <w:sz w:val="28"/>
                <w:szCs w:val="28"/>
              </w:rPr>
            </w:pPr>
          </w:p>
        </w:tc>
      </w:tr>
    </w:tbl>
    <w:p>
      <w:pPr>
        <w:jc w:val="left"/>
        <w:rPr>
          <w:rFonts w:asciiTheme="minorEastAsia" w:hAnsiTheme="minorEastAsia" w:cstheme="minorEastAsia"/>
          <w:sz w:val="28"/>
          <w:szCs w:val="28"/>
        </w:rPr>
      </w:pPr>
    </w:p>
    <w:p>
      <w:pPr>
        <w:jc w:val="left"/>
        <w:rPr>
          <w:rFonts w:asciiTheme="minorEastAsia" w:hAnsiTheme="minorEastAsia" w:cstheme="minorEastAsia"/>
          <w:sz w:val="28"/>
          <w:szCs w:val="28"/>
        </w:rPr>
      </w:pPr>
      <w:r>
        <w:rPr>
          <w:rFonts w:hint="eastAsia" w:asciiTheme="minorEastAsia" w:hAnsiTheme="minorEastAsia" w:cstheme="minorEastAsia"/>
          <w:sz w:val="28"/>
          <w:szCs w:val="28"/>
        </w:rPr>
        <w:t xml:space="preserve">部门负责人签字： </w:t>
      </w:r>
      <w:r>
        <w:rPr>
          <w:rFonts w:hint="eastAsia" w:asciiTheme="minorEastAsia" w:hAnsiTheme="minorEastAsia" w:cstheme="minorEastAsia"/>
          <w:sz w:val="28"/>
          <w:szCs w:val="28"/>
          <w:lang w:eastAsia="zh-CN"/>
        </w:rPr>
        <w:t>孙亦蕙</w:t>
      </w:r>
      <w:r>
        <w:rPr>
          <w:rFonts w:hint="eastAsia" w:asciiTheme="minorEastAsia" w:hAnsiTheme="minorEastAsia" w:cstheme="minorEastAsia"/>
          <w:sz w:val="28"/>
          <w:szCs w:val="28"/>
        </w:rPr>
        <w:t xml:space="preserve">                  部门盖章：</w:t>
      </w:r>
      <w:bookmarkStart w:id="0" w:name="_GoBack"/>
      <w:bookmarkEnd w:id="0"/>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689"/>
    <w:rsid w:val="003752BF"/>
    <w:rsid w:val="005E1BC6"/>
    <w:rsid w:val="00642B2B"/>
    <w:rsid w:val="0068239B"/>
    <w:rsid w:val="00737507"/>
    <w:rsid w:val="00B43D25"/>
    <w:rsid w:val="00DE7689"/>
    <w:rsid w:val="00DF1EC1"/>
    <w:rsid w:val="00ED1585"/>
    <w:rsid w:val="01171AE9"/>
    <w:rsid w:val="07372AC6"/>
    <w:rsid w:val="0E3661DA"/>
    <w:rsid w:val="12091E8B"/>
    <w:rsid w:val="25B91952"/>
    <w:rsid w:val="37DA1C0E"/>
    <w:rsid w:val="4BB97396"/>
    <w:rsid w:val="4FCD07E9"/>
    <w:rsid w:val="58D24E3F"/>
    <w:rsid w:val="68063172"/>
    <w:rsid w:val="7B8E2DC5"/>
    <w:rsid w:val="7E9F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qFormat/>
    <w:uiPriority w:val="0"/>
    <w:rPr>
      <w:kern w:val="2"/>
      <w:sz w:val="18"/>
      <w:szCs w:val="18"/>
    </w:rPr>
  </w:style>
  <w:style w:type="character" w:customStyle="1" w:styleId="8">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65</Words>
  <Characters>375</Characters>
  <Lines>3</Lines>
  <Paragraphs>1</Paragraphs>
  <ScaleCrop>false</ScaleCrop>
  <LinksUpToDate>false</LinksUpToDate>
  <CharactersWithSpaces>439</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cp:lastPrinted>2018-04-12T03:46:00Z</cp:lastPrinted>
  <dcterms:modified xsi:type="dcterms:W3CDTF">2018-04-12T08:43:28Z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