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部门年度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创新与突破工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作自评表</w:t>
      </w:r>
      <w:bookmarkStart w:id="0" w:name="_GoBack"/>
      <w:bookmarkEnd w:id="0"/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eastAsia="zh-CN"/>
        </w:rPr>
        <w:t>部门：</w:t>
      </w:r>
      <w:r>
        <w:rPr>
          <w:rFonts w:hint="eastAsia" w:asciiTheme="minorEastAsia" w:hAnsiTheme="minorEastAsia" w:cstheme="minorEastAsia"/>
          <w:b w:val="0"/>
          <w:bCs w:val="0"/>
          <w:sz w:val="28"/>
          <w:szCs w:val="28"/>
          <w:lang w:val="en-US" w:eastAsia="zh-CN"/>
        </w:rPr>
        <w:t>教学科研中心</w:t>
      </w:r>
    </w:p>
    <w:tbl>
      <w:tblPr>
        <w:tblStyle w:val="4"/>
        <w:tblW w:w="13157" w:type="dxa"/>
        <w:jc w:val="center"/>
        <w:tblInd w:w="-1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6112"/>
        <w:gridCol w:w="1545"/>
        <w:gridCol w:w="1665"/>
        <w:gridCol w:w="1590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611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年度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lang w:eastAsia="zh-CN"/>
              </w:rPr>
              <w:t>作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完成程度</w:t>
            </w:r>
          </w:p>
        </w:tc>
        <w:tc>
          <w:tcPr>
            <w:tcW w:w="166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工作评分</w:t>
            </w:r>
          </w:p>
        </w:tc>
        <w:tc>
          <w:tcPr>
            <w:tcW w:w="159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成绩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611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以项目为依托新建科研团队3个；比照省级技术创新工程（技术）研究中心推进建设我院“机器人创新研究中心”；</w:t>
            </w:r>
          </w:p>
        </w:tc>
        <w:tc>
          <w:tcPr>
            <w:tcW w:w="15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圆满完成</w:t>
            </w:r>
          </w:p>
        </w:tc>
        <w:tc>
          <w:tcPr>
            <w:tcW w:w="166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590" w:type="dxa"/>
            <w:vMerge w:val="restart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通过本年度部门的工作，全院科研课题申报工作取得了突破，教学科研工作迈上了新台阶。</w:t>
            </w: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6112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我院申请加入的</w:t>
            </w:r>
            <w:r>
              <w:rPr>
                <w:sz w:val="28"/>
                <w:szCs w:val="28"/>
              </w:rPr>
              <w:t>“</w:t>
            </w:r>
            <w:r>
              <w:rPr>
                <w:rFonts w:hint="eastAsia"/>
                <w:sz w:val="28"/>
                <w:szCs w:val="28"/>
              </w:rPr>
              <w:t>山西省高性能镁合金产业技术创新战略联盟</w:t>
            </w:r>
            <w:r>
              <w:rPr>
                <w:sz w:val="28"/>
                <w:szCs w:val="28"/>
              </w:rPr>
              <w:t>”</w:t>
            </w:r>
            <w:r>
              <w:rPr>
                <w:rFonts w:hint="eastAsia"/>
                <w:sz w:val="28"/>
                <w:szCs w:val="28"/>
              </w:rPr>
              <w:t>5月份已获山西省科技厅认证。</w:t>
            </w:r>
          </w:p>
        </w:tc>
        <w:tc>
          <w:tcPr>
            <w:tcW w:w="15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圆满完成</w:t>
            </w:r>
          </w:p>
        </w:tc>
        <w:tc>
          <w:tcPr>
            <w:tcW w:w="166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590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112" w:type="dxa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认真落实山西省关于以知识价值为导向的酬薪分配政策的督查工作，按照省里对各院校分阶段检查要求，完成了三各阶段的自查问题、整改及落实情况的报告总结。</w:t>
            </w:r>
          </w:p>
        </w:tc>
        <w:tc>
          <w:tcPr>
            <w:tcW w:w="15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圆满完成</w:t>
            </w:r>
          </w:p>
        </w:tc>
        <w:tc>
          <w:tcPr>
            <w:tcW w:w="166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590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6112" w:type="dxa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启动了</w:t>
            </w:r>
            <w:r>
              <w:rPr>
                <w:rFonts w:hint="eastAsia"/>
                <w:b/>
                <w:bCs/>
                <w:sz w:val="28"/>
                <w:szCs w:val="28"/>
              </w:rPr>
              <w:t>院级教学成果奖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评选</w:t>
            </w:r>
            <w:r>
              <w:rPr>
                <w:rFonts w:hint="eastAsia"/>
                <w:b/>
                <w:bCs/>
                <w:sz w:val="28"/>
                <w:szCs w:val="28"/>
              </w:rPr>
              <w:t>：一等奖1项，二等奖2项，三等奖3项。</w:t>
            </w:r>
            <w:r>
              <w:rPr>
                <w:rFonts w:hint="eastAsia"/>
                <w:bCs/>
                <w:sz w:val="28"/>
                <w:szCs w:val="28"/>
              </w:rPr>
              <w:t>在省级成果申报工作中通过各种渠道向省里</w:t>
            </w:r>
            <w:r>
              <w:rPr>
                <w:rFonts w:hint="eastAsia"/>
                <w:bCs/>
                <w:sz w:val="28"/>
                <w:szCs w:val="28"/>
                <w:lang w:eastAsia="zh-CN"/>
              </w:rPr>
              <w:t>超额</w:t>
            </w:r>
            <w:r>
              <w:rPr>
                <w:rFonts w:hint="eastAsia"/>
                <w:bCs/>
                <w:sz w:val="28"/>
                <w:szCs w:val="28"/>
              </w:rPr>
              <w:t>推荐7项参加省级成果奖的评审，最终我院获</w:t>
            </w:r>
            <w:r>
              <w:rPr>
                <w:rFonts w:hint="eastAsia"/>
                <w:b/>
                <w:bCs/>
                <w:sz w:val="28"/>
                <w:szCs w:val="28"/>
              </w:rPr>
              <w:t>省级教学成果奖：特等奖1项，一等奖1项，二等奖2项</w:t>
            </w:r>
          </w:p>
        </w:tc>
        <w:tc>
          <w:tcPr>
            <w:tcW w:w="15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圆满完成</w:t>
            </w:r>
          </w:p>
        </w:tc>
        <w:tc>
          <w:tcPr>
            <w:tcW w:w="166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590" w:type="dxa"/>
            <w:vMerge w:val="continue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6112" w:type="dxa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按照《全国普通高等学校科技统计年报》（理、工、农、医类）和《全国普通高等学校文史统计年报》的要求，圆满完成本年度的统计工作。</w:t>
            </w:r>
          </w:p>
        </w:tc>
        <w:tc>
          <w:tcPr>
            <w:tcW w:w="154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圆满完成</w:t>
            </w:r>
          </w:p>
        </w:tc>
        <w:tc>
          <w:tcPr>
            <w:tcW w:w="1665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59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611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先后</w:t>
            </w:r>
            <w:r>
              <w:rPr>
                <w:rFonts w:hint="eastAsia"/>
                <w:sz w:val="28"/>
                <w:szCs w:val="28"/>
              </w:rPr>
              <w:t>邀请太钢集团总经济师王立新为学院做了“太钢发展战略与技术合作研讨”的学术报告会；与山西省气象学会合作，举办了“天气分析与预报”学术讲座</w:t>
            </w:r>
            <w:r>
              <w:rPr>
                <w:rFonts w:hint="eastAsia"/>
                <w:sz w:val="28"/>
                <w:szCs w:val="28"/>
                <w:lang w:eastAsia="zh-CN"/>
              </w:rPr>
              <w:t>。</w:t>
            </w:r>
          </w:p>
        </w:tc>
        <w:tc>
          <w:tcPr>
            <w:tcW w:w="1545" w:type="dxa"/>
          </w:tcPr>
          <w:p>
            <w:pPr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59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7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611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发挥山西省金属学会、山西省有色金属行业协会会员单位的作用，及时将行业信息发送到系部。</w:t>
            </w:r>
          </w:p>
        </w:tc>
        <w:tc>
          <w:tcPr>
            <w:tcW w:w="1545" w:type="dxa"/>
          </w:tcPr>
          <w:p>
            <w:pPr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665" w:type="dxa"/>
          </w:tcPr>
          <w:p>
            <w:pPr>
              <w:jc w:val="both"/>
              <w:rPr>
                <w:rFonts w:hint="eastAsia" w:asciiTheme="minorEastAsia" w:hAnsiTheme="minorEastAsia" w:cstheme="minor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1590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98" w:type="dxa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ind w:firstLine="560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-SA"/>
        </w:rPr>
        <w:t>部门负责人签字：                    部门盖章：</w:t>
      </w:r>
    </w:p>
    <w:p/>
    <w:sectPr>
      <w:pgSz w:w="16838" w:h="11906" w:orient="landscape"/>
      <w:pgMar w:top="1417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34A50"/>
    <w:rsid w:val="0E3661DA"/>
    <w:rsid w:val="0F713F90"/>
    <w:rsid w:val="10D23650"/>
    <w:rsid w:val="1EA62DB2"/>
    <w:rsid w:val="32EB0071"/>
    <w:rsid w:val="3A8C43C9"/>
    <w:rsid w:val="3E7561D2"/>
    <w:rsid w:val="409A6305"/>
    <w:rsid w:val="492E2F72"/>
    <w:rsid w:val="511D316F"/>
    <w:rsid w:val="68063172"/>
    <w:rsid w:val="7392134F"/>
    <w:rsid w:val="73E54BE8"/>
    <w:rsid w:val="7D613A8A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zys</cp:lastModifiedBy>
  <dcterms:modified xsi:type="dcterms:W3CDTF">2018-04-13T02:43:19Z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