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center"/>
        <w:textAlignment w:val="auto"/>
        <w:outlineLvl w:val="9"/>
        <w:rPr>
          <w:rFonts w:hint="eastAsia"/>
          <w:sz w:val="28"/>
          <w:szCs w:val="28"/>
          <w:lang w:val="en-US" w:eastAsia="zh-CN"/>
        </w:rPr>
      </w:pPr>
      <w:r>
        <w:rPr>
          <w:rFonts w:hint="eastAsia"/>
          <w:sz w:val="28"/>
          <w:szCs w:val="28"/>
          <w:lang w:val="en-US" w:eastAsia="zh-CN"/>
        </w:rPr>
        <w:t>2017年度实验实训中心自评报告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lang w:val="en-US" w:eastAsia="zh-CN"/>
        </w:rPr>
      </w:pPr>
      <w:r>
        <w:rPr>
          <w:rFonts w:hint="eastAsia"/>
          <w:sz w:val="28"/>
          <w:szCs w:val="28"/>
          <w:lang w:val="en-US" w:eastAsia="zh-CN"/>
        </w:rPr>
        <w:t>根据2017年度党风廉政建设责任、校园综合治理目标责任、工作目标责任的要求，实验实训中心比较圆满的完成了本年度的各项工作任务。</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560" w:firstLineChars="200"/>
        <w:jc w:val="both"/>
        <w:textAlignment w:val="auto"/>
        <w:outlineLvl w:val="9"/>
        <w:rPr>
          <w:rFonts w:hint="eastAsia"/>
          <w:sz w:val="28"/>
          <w:szCs w:val="28"/>
          <w:lang w:val="en-US" w:eastAsia="zh-CN"/>
        </w:rPr>
      </w:pPr>
      <w:r>
        <w:rPr>
          <w:rFonts w:hint="eastAsia"/>
          <w:sz w:val="28"/>
          <w:szCs w:val="28"/>
          <w:lang w:val="en-US" w:eastAsia="zh-CN"/>
        </w:rPr>
        <w:t>工作成绩：</w:t>
      </w:r>
      <w:bookmarkStart w:id="0" w:name="_GoBack"/>
      <w:bookmarkEnd w:id="0"/>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420" w:firstLineChars="150"/>
        <w:jc w:val="both"/>
        <w:textAlignment w:val="auto"/>
        <w:outlineLvl w:val="9"/>
        <w:rPr>
          <w:rFonts w:hint="eastAsia"/>
          <w:sz w:val="28"/>
          <w:szCs w:val="28"/>
          <w:lang w:val="en-US" w:eastAsia="zh-CN"/>
        </w:rPr>
      </w:pPr>
      <w:r>
        <w:rPr>
          <w:rFonts w:hint="eastAsia"/>
          <w:sz w:val="28"/>
          <w:szCs w:val="28"/>
          <w:lang w:val="en-US" w:eastAsia="zh-CN"/>
        </w:rPr>
        <w:t>积极参加政治理论学习，全面贯彻落实习总书记系列讲话精神和十九大精神。</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420" w:firstLineChars="150"/>
        <w:jc w:val="both"/>
        <w:textAlignment w:val="auto"/>
        <w:outlineLvl w:val="9"/>
        <w:rPr>
          <w:rFonts w:hint="eastAsia"/>
          <w:sz w:val="28"/>
          <w:szCs w:val="28"/>
          <w:lang w:val="en-US" w:eastAsia="zh-CN"/>
        </w:rPr>
      </w:pPr>
      <w:r>
        <w:rPr>
          <w:rFonts w:hint="eastAsia"/>
          <w:sz w:val="28"/>
          <w:szCs w:val="28"/>
          <w:lang w:val="en-US" w:eastAsia="zh-CN"/>
        </w:rPr>
        <w:t>严格按照《党风廉政建设责任书》有关要求，认真执行上级及学院关于管党治党的各项规定，严格要求部门所有工作人员，履行自己的职责。深入贯彻执行中央八项规定精神，坚持不懈纠正“四风”。本部门工作人中没有发生任何违法违纪事件。</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478" w:firstLineChars="171"/>
        <w:jc w:val="both"/>
        <w:textAlignment w:val="auto"/>
        <w:outlineLvl w:val="9"/>
        <w:rPr>
          <w:rFonts w:hint="eastAsia"/>
          <w:sz w:val="28"/>
          <w:szCs w:val="28"/>
          <w:lang w:val="en-US" w:eastAsia="zh-CN"/>
        </w:rPr>
      </w:pPr>
      <w:r>
        <w:rPr>
          <w:rFonts w:hint="eastAsia"/>
          <w:sz w:val="28"/>
          <w:szCs w:val="28"/>
          <w:lang w:val="en-US" w:eastAsia="zh-CN"/>
        </w:rPr>
        <w:t>按照学院总体总体部署，结合工作实际，扎实开展“提高标准、提升能力、争创一流”专项活动，推进“两学一做”学习教育常态化制度化。</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478" w:firstLineChars="171"/>
        <w:jc w:val="both"/>
        <w:textAlignment w:val="auto"/>
        <w:outlineLvl w:val="9"/>
        <w:rPr>
          <w:rFonts w:hint="eastAsia"/>
          <w:sz w:val="28"/>
          <w:szCs w:val="28"/>
          <w:lang w:val="en-US" w:eastAsia="zh-CN"/>
        </w:rPr>
      </w:pPr>
      <w:r>
        <w:rPr>
          <w:rFonts w:hint="eastAsia"/>
          <w:sz w:val="28"/>
          <w:szCs w:val="28"/>
          <w:lang w:val="en-US" w:eastAsia="zh-CN"/>
        </w:rPr>
        <w:t>进一步明确实训中心及工作人员的岗位职责。</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478" w:firstLineChars="171"/>
        <w:jc w:val="both"/>
        <w:textAlignment w:val="auto"/>
        <w:outlineLvl w:val="9"/>
        <w:rPr>
          <w:rFonts w:hint="eastAsia"/>
          <w:sz w:val="28"/>
          <w:szCs w:val="28"/>
          <w:lang w:val="en-US" w:eastAsia="zh-CN"/>
        </w:rPr>
      </w:pPr>
      <w:r>
        <w:rPr>
          <w:rFonts w:hint="eastAsia"/>
          <w:sz w:val="28"/>
          <w:szCs w:val="28"/>
          <w:lang w:val="en-US" w:eastAsia="zh-CN"/>
        </w:rPr>
        <w:t>2017年度各系各专业实训项目开出率平均为90%，对全院实训室的利用率工作进行了考核，同时就实训室管理员2个学期绩效的发放进行反复计算和审核。</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420" w:firstLineChars="150"/>
        <w:jc w:val="both"/>
        <w:textAlignment w:val="auto"/>
        <w:outlineLvl w:val="9"/>
        <w:rPr>
          <w:rFonts w:hint="eastAsia"/>
          <w:sz w:val="28"/>
          <w:szCs w:val="28"/>
          <w:lang w:val="en-US" w:eastAsia="zh-CN"/>
        </w:rPr>
      </w:pPr>
      <w:r>
        <w:rPr>
          <w:rFonts w:hint="eastAsia"/>
          <w:sz w:val="28"/>
          <w:szCs w:val="28"/>
          <w:lang w:val="en-US" w:eastAsia="zh-CN"/>
        </w:rPr>
        <w:t>上半年技能鉴定中心组织我院463名学生参加了数控车工、化学检验工、测量放线工、钳工、炼铁工、轧钢工、转炉炼钢工七个工种的技能鉴定工作，正在进行成绩的评定中。下半年完成电工、钳工二个工种510人的技能鉴定工作。全年共计1000人。</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sz w:val="28"/>
          <w:szCs w:val="28"/>
          <w:lang w:val="en-US" w:eastAsia="zh-CN"/>
        </w:rPr>
      </w:pPr>
      <w:r>
        <w:rPr>
          <w:rFonts w:hint="eastAsia"/>
          <w:sz w:val="28"/>
          <w:szCs w:val="28"/>
          <w:lang w:val="en-US" w:eastAsia="zh-CN"/>
        </w:rPr>
        <w:t>参加大学生职业技能大赛方面：</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sz w:val="28"/>
          <w:szCs w:val="28"/>
          <w:lang w:val="en-US" w:eastAsia="zh-CN"/>
        </w:rPr>
      </w:pPr>
      <w:r>
        <w:rPr>
          <w:rFonts w:hint="eastAsia"/>
          <w:sz w:val="28"/>
          <w:szCs w:val="28"/>
          <w:lang w:val="en-US" w:eastAsia="zh-CN"/>
        </w:rPr>
        <w:t>参加6个国家级项目，获得8个团体奖，其中：高教社杯全国大学生数学建模竞赛团体一等奖一个、二等奖三个；全国高校计算机网络技能大赛全国总决赛团体二等奖二个；全国大学生电子设计竞赛（高职高专组）全国赛区团体二等奖一个；全国职业院校“工业分析检验”技能竞赛三等奖。</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sz w:val="28"/>
          <w:szCs w:val="28"/>
          <w:lang w:val="en-US" w:eastAsia="zh-CN"/>
        </w:rPr>
      </w:pPr>
      <w:r>
        <w:rPr>
          <w:rFonts w:hint="eastAsia"/>
          <w:sz w:val="28"/>
          <w:szCs w:val="28"/>
          <w:lang w:val="en-US" w:eastAsia="zh-CN"/>
        </w:rPr>
        <w:t>参加省级比赛31个参赛项目（43个团体奖14个个人奖），其中：一等奖16个，二等奖17个，三等奖24个</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sz w:val="28"/>
          <w:szCs w:val="28"/>
          <w:lang w:val="en-US" w:eastAsia="zh-CN"/>
        </w:rPr>
      </w:pPr>
      <w:r>
        <w:rPr>
          <w:rFonts w:hint="eastAsia"/>
          <w:sz w:val="28"/>
          <w:szCs w:val="28"/>
          <w:lang w:val="en-US" w:eastAsia="zh-CN"/>
        </w:rPr>
        <w:t>首次承办云计算技术应用大赛、复杂部件数控多轴联动加工技术、工业机器人大赛、应用数学大赛、现代电气控制系统安装与调试大赛、电子产品设计与制作大赛6项大型技能大赛赛事，并获得圆满成功。</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sz w:val="28"/>
          <w:szCs w:val="28"/>
          <w:lang w:val="en-US" w:eastAsia="zh-CN"/>
        </w:rPr>
      </w:pPr>
      <w:r>
        <w:rPr>
          <w:rFonts w:hint="eastAsia"/>
          <w:sz w:val="28"/>
          <w:szCs w:val="28"/>
          <w:lang w:val="en-US" w:eastAsia="zh-CN"/>
        </w:rPr>
        <w:t>我院电气工程系王宇、薛君、杨淑媛三位老师喜获2017年全国职业院校信息化教学大赛高职组信息化课堂教学三等奖。</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sz w:val="28"/>
          <w:szCs w:val="28"/>
          <w:lang w:val="en-US" w:eastAsia="zh-CN"/>
        </w:rPr>
      </w:pPr>
      <w:r>
        <w:rPr>
          <w:rFonts w:hint="eastAsia"/>
          <w:sz w:val="28"/>
          <w:szCs w:val="28"/>
          <w:lang w:val="en-US" w:eastAsia="zh-CN"/>
        </w:rPr>
        <w:t>实训中心牵头，各系组织的院级技能大赛，共23个参赛项目（35个团体奖103个个人奖）</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right="0" w:rightChars="0" w:firstLine="560" w:firstLineChars="200"/>
        <w:jc w:val="both"/>
        <w:textAlignment w:val="auto"/>
        <w:outlineLvl w:val="9"/>
        <w:rPr>
          <w:rFonts w:hint="eastAsia"/>
          <w:sz w:val="28"/>
          <w:szCs w:val="28"/>
          <w:lang w:val="en-US" w:eastAsia="zh-CN"/>
        </w:rPr>
      </w:pPr>
      <w:r>
        <w:rPr>
          <w:rFonts w:hint="eastAsia"/>
          <w:sz w:val="28"/>
          <w:szCs w:val="28"/>
          <w:lang w:val="en-US" w:eastAsia="zh-CN"/>
        </w:rPr>
        <w:t>完成对技能大赛中各承办系部、各参赛单位就组织工作和参赛工作、获奖方面的绩效的审核和计算。</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495" w:firstLineChars="177"/>
        <w:jc w:val="both"/>
        <w:textAlignment w:val="auto"/>
        <w:outlineLvl w:val="9"/>
        <w:rPr>
          <w:rFonts w:hint="eastAsia"/>
          <w:sz w:val="28"/>
          <w:szCs w:val="28"/>
          <w:lang w:val="en-US" w:eastAsia="zh-CN"/>
        </w:rPr>
      </w:pPr>
      <w:r>
        <w:rPr>
          <w:rFonts w:hint="eastAsia"/>
          <w:sz w:val="28"/>
          <w:szCs w:val="28"/>
          <w:lang w:val="en-US" w:eastAsia="zh-CN"/>
        </w:rPr>
        <w:t>举办青年教师实践技能大赛：冶金系举办了转炉炼钢、造球操作、化学分析、仪器分析四个项目的比赛，有效提升青年教师的实践动手能力。</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rightChars="0" w:firstLine="495" w:firstLineChars="177"/>
        <w:jc w:val="both"/>
        <w:textAlignment w:val="auto"/>
        <w:outlineLvl w:val="9"/>
        <w:rPr>
          <w:rFonts w:hint="eastAsia"/>
          <w:sz w:val="28"/>
          <w:szCs w:val="28"/>
          <w:lang w:val="en-US" w:eastAsia="zh-CN"/>
        </w:rPr>
      </w:pPr>
      <w:r>
        <w:rPr>
          <w:rFonts w:hint="eastAsia"/>
          <w:sz w:val="28"/>
          <w:szCs w:val="28"/>
          <w:lang w:val="en-US" w:eastAsia="zh-CN"/>
        </w:rPr>
        <w:t>与教务处、招生就业处、专业系部一起，制定了新的顶岗实习管理办法，落实顶岗实习企业，顺利实现2018级学生的大三顶岗实习工作的安排；同时搭建起了顶岗实习管理平台，初步实现学生、教师、学校管理部门的在线相互沟通，做到了以天为单位学生去向的监控，以周为单位学生作业任务的完成和指导教师与学生的联系。安排了全年到太钢34个班次、1514人次的认识实习。</w:t>
      </w:r>
    </w:p>
    <w:p>
      <w:pPr>
        <w:keepNext w:val="0"/>
        <w:keepLines w:val="0"/>
        <w:pageBreakBefore w:val="0"/>
        <w:widowControl w:val="0"/>
        <w:numPr>
          <w:ilvl w:val="0"/>
          <w:numId w:val="2"/>
        </w:numPr>
        <w:kinsoku/>
        <w:wordWrap/>
        <w:overflowPunct/>
        <w:topLinePunct w:val="0"/>
        <w:autoSpaceDE/>
        <w:autoSpaceDN/>
        <w:bidi w:val="0"/>
        <w:adjustRightInd/>
        <w:snapToGrid/>
        <w:spacing w:after="159" w:afterLines="50" w:afterAutospacing="0" w:line="240" w:lineRule="auto"/>
        <w:ind w:left="0" w:leftChars="0" w:right="76" w:rightChars="36" w:firstLine="420" w:firstLineChars="150"/>
        <w:jc w:val="both"/>
        <w:textAlignment w:val="auto"/>
        <w:outlineLvl w:val="9"/>
        <w:rPr>
          <w:rFonts w:hint="eastAsia"/>
          <w:sz w:val="28"/>
          <w:szCs w:val="28"/>
          <w:lang w:val="en-US" w:eastAsia="zh-CN"/>
        </w:rPr>
      </w:pPr>
      <w:r>
        <w:rPr>
          <w:rFonts w:hint="eastAsia"/>
          <w:sz w:val="28"/>
          <w:szCs w:val="28"/>
          <w:lang w:val="en-US" w:eastAsia="zh-CN"/>
        </w:rPr>
        <w:t>与教务处、专业系部一起为2017年山西省职业教育周的启动仪式的成功举办和我院职教周活动的开展进行了大量的前期准备工作。</w:t>
      </w:r>
    </w:p>
    <w:p>
      <w:pPr>
        <w:keepNext w:val="0"/>
        <w:keepLines w:val="0"/>
        <w:pageBreakBefore w:val="0"/>
        <w:widowControl w:val="0"/>
        <w:numPr>
          <w:ilvl w:val="0"/>
          <w:numId w:val="2"/>
        </w:numPr>
        <w:kinsoku/>
        <w:wordWrap/>
        <w:overflowPunct/>
        <w:topLinePunct w:val="0"/>
        <w:autoSpaceDE/>
        <w:autoSpaceDN/>
        <w:bidi w:val="0"/>
        <w:adjustRightInd/>
        <w:snapToGrid/>
        <w:spacing w:after="159" w:afterLines="50" w:afterAutospacing="0" w:line="240" w:lineRule="auto"/>
        <w:ind w:left="0" w:leftChars="0" w:right="76" w:rightChars="36" w:firstLine="420" w:firstLineChars="150"/>
        <w:jc w:val="both"/>
        <w:textAlignment w:val="auto"/>
        <w:outlineLvl w:val="9"/>
        <w:rPr>
          <w:rFonts w:hint="eastAsia"/>
          <w:sz w:val="28"/>
          <w:szCs w:val="28"/>
          <w:lang w:val="en-US" w:eastAsia="zh-CN"/>
        </w:rPr>
      </w:pPr>
      <w:r>
        <w:rPr>
          <w:rFonts w:hint="eastAsia"/>
          <w:sz w:val="28"/>
          <w:szCs w:val="28"/>
          <w:lang w:val="en-US" w:eastAsia="zh-CN"/>
        </w:rPr>
        <w:t>配合校园的综合治理工作、专项重点安全检查等，与保卫处、教务处、系部一起对全院所有实训室定期进行安全卫生大检查，对排查出的隐患进行了跟踪和督促解决工作。全院所有实训室均有完善的安全管理制度和实验操作规范要求。配合保卫处将我院最后一批剧毒化学药品按规定流程处理完毕，做到了对危险化学品的监管、严格落实领用管理制度和台账登记制度。实验实训室的消防安全管理工作得到了加强。</w:t>
      </w:r>
    </w:p>
    <w:p>
      <w:pPr>
        <w:keepNext w:val="0"/>
        <w:keepLines w:val="0"/>
        <w:pageBreakBefore w:val="0"/>
        <w:widowControl w:val="0"/>
        <w:numPr>
          <w:ilvl w:val="0"/>
          <w:numId w:val="2"/>
        </w:numPr>
        <w:kinsoku/>
        <w:wordWrap/>
        <w:overflowPunct/>
        <w:topLinePunct w:val="0"/>
        <w:autoSpaceDE/>
        <w:autoSpaceDN/>
        <w:bidi w:val="0"/>
        <w:adjustRightInd/>
        <w:snapToGrid/>
        <w:spacing w:after="159" w:afterLines="50" w:afterAutospacing="0" w:line="240" w:lineRule="auto"/>
        <w:ind w:left="0" w:leftChars="0" w:right="76" w:rightChars="36" w:firstLine="420" w:firstLineChars="150"/>
        <w:jc w:val="both"/>
        <w:textAlignment w:val="auto"/>
        <w:outlineLvl w:val="9"/>
        <w:rPr>
          <w:rFonts w:hint="eastAsia"/>
          <w:sz w:val="28"/>
          <w:szCs w:val="28"/>
          <w:lang w:val="en-US" w:eastAsia="zh-CN"/>
        </w:rPr>
      </w:pPr>
      <w:r>
        <w:rPr>
          <w:rFonts w:hint="eastAsia"/>
          <w:sz w:val="28"/>
          <w:szCs w:val="28"/>
          <w:lang w:val="en-US" w:eastAsia="zh-CN"/>
        </w:rPr>
        <w:t>对实践教学工作量进行审核；对外出实习经费进行审核；对技能大赛的各项费用进行审核；对各系部的耗材经费和使用进行审核；完成本年度填写数据平台的工作任务；完成对日常实践教学的监控工作。</w:t>
      </w:r>
    </w:p>
    <w:p>
      <w:pPr>
        <w:keepNext w:val="0"/>
        <w:keepLines w:val="0"/>
        <w:pageBreakBefore w:val="0"/>
        <w:widowControl w:val="0"/>
        <w:numPr>
          <w:ilvl w:val="0"/>
          <w:numId w:val="2"/>
        </w:numPr>
        <w:kinsoku/>
        <w:wordWrap/>
        <w:overflowPunct/>
        <w:topLinePunct w:val="0"/>
        <w:autoSpaceDE/>
        <w:autoSpaceDN/>
        <w:bidi w:val="0"/>
        <w:adjustRightInd/>
        <w:snapToGrid/>
        <w:spacing w:after="159" w:afterLines="50" w:afterAutospacing="0" w:line="240" w:lineRule="auto"/>
        <w:ind w:left="0" w:leftChars="0" w:right="76" w:rightChars="36" w:firstLine="420" w:firstLineChars="150"/>
        <w:jc w:val="both"/>
        <w:textAlignment w:val="auto"/>
        <w:outlineLvl w:val="9"/>
        <w:rPr>
          <w:rFonts w:hint="eastAsia"/>
          <w:sz w:val="28"/>
          <w:szCs w:val="28"/>
          <w:lang w:val="en-US" w:eastAsia="zh-CN"/>
        </w:rPr>
      </w:pPr>
      <w:r>
        <w:rPr>
          <w:rFonts w:hint="eastAsia"/>
          <w:sz w:val="28"/>
          <w:szCs w:val="28"/>
          <w:lang w:val="en-US" w:eastAsia="zh-CN"/>
        </w:rPr>
        <w:t>实验实训中心网站建设有了进一步的改进。</w:t>
      </w:r>
    </w:p>
    <w:p>
      <w:pPr>
        <w:keepNext w:val="0"/>
        <w:keepLines w:val="0"/>
        <w:pageBreakBefore w:val="0"/>
        <w:widowControl w:val="0"/>
        <w:numPr>
          <w:ilvl w:val="0"/>
          <w:numId w:val="0"/>
        </w:numPr>
        <w:kinsoku/>
        <w:wordWrap/>
        <w:overflowPunct/>
        <w:topLinePunct w:val="0"/>
        <w:autoSpaceDE/>
        <w:autoSpaceDN/>
        <w:bidi w:val="0"/>
        <w:adjustRightInd/>
        <w:snapToGrid/>
        <w:spacing w:after="159" w:afterLines="50" w:afterAutospacing="0" w:line="240" w:lineRule="auto"/>
        <w:ind w:leftChars="150" w:right="76" w:rightChars="36"/>
        <w:jc w:val="both"/>
        <w:textAlignment w:val="auto"/>
        <w:outlineLvl w:val="9"/>
        <w:rPr>
          <w:rFonts w:hint="eastAsia"/>
          <w:sz w:val="28"/>
          <w:szCs w:val="28"/>
          <w:lang w:val="en-US" w:eastAsia="zh-CN"/>
        </w:rPr>
      </w:pPr>
      <w:r>
        <w:rPr>
          <w:rFonts w:hint="eastAsia"/>
          <w:sz w:val="28"/>
          <w:szCs w:val="28"/>
          <w:lang w:val="en-US" w:eastAsia="zh-CN"/>
        </w:rPr>
        <w:t>附：关于2017年度工作目标责任清单的说明</w:t>
      </w:r>
    </w:p>
    <w:p>
      <w:pPr>
        <w:keepNext w:val="0"/>
        <w:keepLines w:val="0"/>
        <w:pageBreakBefore w:val="0"/>
        <w:widowControl w:val="0"/>
        <w:numPr>
          <w:ilvl w:val="0"/>
          <w:numId w:val="0"/>
        </w:numPr>
        <w:kinsoku/>
        <w:wordWrap/>
        <w:overflowPunct/>
        <w:topLinePunct w:val="0"/>
        <w:autoSpaceDE/>
        <w:autoSpaceDN/>
        <w:bidi w:val="0"/>
        <w:adjustRightInd/>
        <w:snapToGrid/>
        <w:spacing w:after="159" w:afterLines="50" w:afterAutospacing="0" w:line="240" w:lineRule="auto"/>
        <w:ind w:leftChars="150" w:right="76" w:rightChars="36"/>
        <w:jc w:val="both"/>
        <w:textAlignment w:val="auto"/>
        <w:outlineLvl w:val="9"/>
        <w:rPr>
          <w:rFonts w:hint="eastAsia"/>
          <w:sz w:val="28"/>
          <w:szCs w:val="28"/>
          <w:lang w:val="en-US" w:eastAsia="zh-CN"/>
        </w:rPr>
      </w:pPr>
    </w:p>
    <w:tbl>
      <w:tblPr>
        <w:tblStyle w:val="3"/>
        <w:tblW w:w="821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84"/>
        <w:gridCol w:w="2937"/>
        <w:gridCol w:w="1405"/>
        <w:gridCol w:w="35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855" w:hRule="atLeast"/>
        </w:trPr>
        <w:tc>
          <w:tcPr>
            <w:tcW w:w="8212" w:type="dxa"/>
            <w:gridSpan w:val="4"/>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2017年度工作目标责任清单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284" w:type="dxa"/>
            <w:shd w:val="clear" w:color="auto" w:fill="auto"/>
            <w:vAlign w:val="center"/>
          </w:tcPr>
          <w:p>
            <w:pPr>
              <w:rPr>
                <w:rFonts w:hint="eastAsia" w:ascii="宋体" w:hAnsi="宋体" w:eastAsia="宋体" w:cs="宋体"/>
                <w:i w:val="0"/>
                <w:color w:val="000000"/>
                <w:sz w:val="22"/>
                <w:szCs w:val="22"/>
                <w:u w:val="none"/>
              </w:rPr>
            </w:pPr>
          </w:p>
        </w:tc>
        <w:tc>
          <w:tcPr>
            <w:tcW w:w="2937"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部门：实验实训中心</w:t>
            </w:r>
          </w:p>
        </w:tc>
        <w:tc>
          <w:tcPr>
            <w:tcW w:w="1405" w:type="dxa"/>
            <w:shd w:val="clear" w:color="auto" w:fill="auto"/>
            <w:vAlign w:val="center"/>
          </w:tcPr>
          <w:p>
            <w:pPr>
              <w:jc w:val="center"/>
              <w:rPr>
                <w:rFonts w:hint="eastAsia" w:ascii="宋体" w:hAnsi="宋体" w:eastAsia="宋体" w:cs="宋体"/>
                <w:i w:val="0"/>
                <w:color w:val="000000"/>
                <w:sz w:val="24"/>
                <w:szCs w:val="24"/>
                <w:u w:val="none"/>
              </w:rPr>
            </w:pPr>
          </w:p>
        </w:tc>
        <w:tc>
          <w:tcPr>
            <w:tcW w:w="3586" w:type="dxa"/>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2"/>
                <w:szCs w:val="22"/>
                <w:u w:val="none"/>
              </w:rPr>
            </w:pPr>
          </w:p>
        </w:tc>
        <w:tc>
          <w:tcPr>
            <w:tcW w:w="2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内  容</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评价成绩</w:t>
            </w:r>
          </w:p>
        </w:tc>
        <w:tc>
          <w:tcPr>
            <w:tcW w:w="3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加强政治理论学习，全面贯彻落实习近平总书记系列讲话精神和十八届六中全会精神。</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A</w:t>
            </w:r>
          </w:p>
        </w:tc>
        <w:tc>
          <w:tcPr>
            <w:tcW w:w="3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本部门认真组织学习并贯彻落实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深入学习全国高校思想政治工作会议精神，贯彻全国职业教育工作会议精神和山西省教育工作会议精神，全面推动学院教育教学改革。</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24"/>
                <w:szCs w:val="24"/>
                <w:u w:val="none"/>
              </w:rPr>
            </w:pPr>
            <w:r>
              <w:rPr>
                <w:rFonts w:hint="eastAsia" w:ascii="宋体" w:hAnsi="宋体" w:eastAsia="宋体" w:cs="宋体"/>
                <w:b/>
                <w:i w:val="0"/>
                <w:color w:val="000000"/>
                <w:kern w:val="0"/>
                <w:sz w:val="24"/>
                <w:szCs w:val="24"/>
                <w:u w:val="none"/>
                <w:lang w:val="en-US" w:eastAsia="zh-CN" w:bidi="ar"/>
              </w:rPr>
              <w:t>A</w:t>
            </w:r>
          </w:p>
        </w:tc>
        <w:tc>
          <w:tcPr>
            <w:tcW w:w="3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本部门认真组织学习并贯彻落实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2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严格按照《党风廉政建设责任书》有关要求，切实抓好党风廉政建设各项任务的落实。</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A</w:t>
            </w:r>
          </w:p>
        </w:tc>
        <w:tc>
          <w:tcPr>
            <w:tcW w:w="3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本部门认真组织学习并贯彻落实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2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按照学院总体部署，结合工作实际，扎实开展“提高标准、提升能力、争创一流”专项活动，推进“两学一做”学习教育常态化制度化。</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A</w:t>
            </w:r>
          </w:p>
        </w:tc>
        <w:tc>
          <w:tcPr>
            <w:tcW w:w="3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本部门认真组织学习并贯彻落实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2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推行实训室信息化建设，确保开出率达到80%以上。</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A</w:t>
            </w:r>
          </w:p>
        </w:tc>
        <w:tc>
          <w:tcPr>
            <w:tcW w:w="3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本学年，2个学期实训室开出率均达100%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2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落实学历职业“双证书”制度。</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B</w:t>
            </w:r>
          </w:p>
        </w:tc>
        <w:tc>
          <w:tcPr>
            <w:tcW w:w="3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本项工作技能鉴定中心在努力开展，但由于目前毕业证书不再与技能证书挂勾，所以未达到预期目标。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2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完成全年职业技能鉴定工作，达到1600人次。</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B</w:t>
            </w:r>
          </w:p>
        </w:tc>
        <w:tc>
          <w:tcPr>
            <w:tcW w:w="3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今年实际完成1000人次的技能鉴定工作。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2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★参加各级技能大赛。全年获得国家级奖项10项左右，省部级奖项20项左右</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B</w:t>
            </w:r>
          </w:p>
        </w:tc>
        <w:tc>
          <w:tcPr>
            <w:tcW w:w="3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参加6个国家级项目，获得8个团体奖</w:t>
            </w:r>
          </w:p>
          <w:p>
            <w:pPr>
              <w:keepNext w:val="0"/>
              <w:keepLines w:val="0"/>
              <w:widowControl/>
              <w:suppressLineNumbers w:val="0"/>
              <w:jc w:val="left"/>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sz w:val="24"/>
                <w:szCs w:val="24"/>
                <w:u w:val="none"/>
                <w:lang w:val="en-US" w:eastAsia="zh-CN"/>
              </w:rPr>
              <w:t>参加省级比赛31个参赛项目，获得57项奖项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2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力争申办1项国家级技能大赛，2-3项省级技能大赛。</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A</w:t>
            </w:r>
          </w:p>
        </w:tc>
        <w:tc>
          <w:tcPr>
            <w:tcW w:w="3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承办六项省级技能大赛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2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牵头举办青年教师实践技能大赛，有效提升青年教师的实践动手能力。</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B</w:t>
            </w:r>
          </w:p>
        </w:tc>
        <w:tc>
          <w:tcPr>
            <w:tcW w:w="3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在院级技能大赛中，有部分系部组织青年教师进行了比赛。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2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推进综合改革，落实好“综合改革推进年”确定的各项改革任务。</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B</w:t>
            </w:r>
          </w:p>
        </w:tc>
        <w:tc>
          <w:tcPr>
            <w:tcW w:w="3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lang w:eastAsia="zh-CN"/>
              </w:rPr>
            </w:pPr>
            <w:r>
              <w:rPr>
                <w:rFonts w:hint="eastAsia" w:ascii="宋体" w:hAnsi="宋体" w:eastAsia="宋体" w:cs="宋体"/>
                <w:i w:val="0"/>
                <w:color w:val="000000"/>
                <w:sz w:val="24"/>
                <w:szCs w:val="24"/>
                <w:u w:val="none"/>
                <w:lang w:eastAsia="zh-CN"/>
              </w:rPr>
              <w:t>完成学院确定的各项改革任务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2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做好本部门制度的“废改立”工作，公布办事流程，提高服务质量，发挥好支撑保障作用。</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A</w:t>
            </w:r>
          </w:p>
        </w:tc>
        <w:tc>
          <w:tcPr>
            <w:tcW w:w="3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完成“废改立”工作，办事流程已经公布，努力提高服务质量。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2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建设好本部门网站，无纸化办公取得实质性进展，推动信息化建设迈上新台阶。</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B</w:t>
            </w:r>
          </w:p>
        </w:tc>
        <w:tc>
          <w:tcPr>
            <w:tcW w:w="3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较上年度，本部门网页做了进一步改进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2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落实《校园综合治理（安全稳定）目标管理责任书》有关要求，提升综治安全稳定工作水平。</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A</w:t>
            </w:r>
          </w:p>
        </w:tc>
        <w:tc>
          <w:tcPr>
            <w:tcW w:w="3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全年按月进行安全卫生大检查，督促各实训室进行安全隐患的排查和整改工作。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2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落实党委会与院长办公会的决议决定，完成部门日常工作和学院交办的其他工作任务。</w:t>
            </w:r>
          </w:p>
        </w:tc>
        <w:tc>
          <w:tcPr>
            <w:tcW w:w="14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A</w:t>
            </w:r>
          </w:p>
        </w:tc>
        <w:tc>
          <w:tcPr>
            <w:tcW w:w="35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完成本部门日常工作和学院交办的其他工作任务</w:t>
            </w:r>
          </w:p>
        </w:tc>
      </w:tr>
    </w:tbl>
    <w:p>
      <w:pPr>
        <w:keepNext w:val="0"/>
        <w:keepLines w:val="0"/>
        <w:pageBreakBefore w:val="0"/>
        <w:widowControl w:val="0"/>
        <w:numPr>
          <w:ilvl w:val="0"/>
          <w:numId w:val="0"/>
        </w:numPr>
        <w:kinsoku/>
        <w:wordWrap/>
        <w:overflowPunct/>
        <w:topLinePunct w:val="0"/>
        <w:autoSpaceDE/>
        <w:autoSpaceDN/>
        <w:bidi w:val="0"/>
        <w:adjustRightInd/>
        <w:snapToGrid/>
        <w:spacing w:after="159" w:afterLines="50" w:afterAutospacing="0" w:line="240" w:lineRule="auto"/>
        <w:ind w:leftChars="150" w:right="76" w:rightChars="36"/>
        <w:jc w:val="both"/>
        <w:textAlignment w:val="auto"/>
        <w:outlineLvl w:val="9"/>
        <w:rPr>
          <w:rFonts w:hint="eastAsia"/>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3B6DE0"/>
    <w:multiLevelType w:val="singleLevel"/>
    <w:tmpl w:val="5A3B6DE0"/>
    <w:lvl w:ilvl="0" w:tentative="0">
      <w:start w:val="1"/>
      <w:numFmt w:val="chineseCounting"/>
      <w:suff w:val="nothing"/>
      <w:lvlText w:val="%1、"/>
      <w:lvlJc w:val="left"/>
    </w:lvl>
  </w:abstractNum>
  <w:abstractNum w:abstractNumId="1">
    <w:nsid w:val="5A3B6F0A"/>
    <w:multiLevelType w:val="singleLevel"/>
    <w:tmpl w:val="5A3B6F0A"/>
    <w:lvl w:ilvl="0" w:tentative="0">
      <w:start w:val="1"/>
      <w:numFmt w:val="decimal"/>
      <w:suff w:val="nothing"/>
      <w:lvlText w:val="%1、"/>
      <w:lvlJc w:val="left"/>
    </w:lvl>
  </w:abstractNum>
  <w:abstractNum w:abstractNumId="2">
    <w:nsid w:val="5A3B782D"/>
    <w:multiLevelType w:val="singleLevel"/>
    <w:tmpl w:val="5A3B782D"/>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241875"/>
    <w:rsid w:val="552C6264"/>
    <w:rsid w:val="75EA48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云</cp:lastModifiedBy>
  <dcterms:modified xsi:type="dcterms:W3CDTF">2018-04-10T09:12:57Z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